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8303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b339010-d31c-4fe5-b737-de4418db5183"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b53f0ed-c20d-4a20-b9d2-7132402a1840" w:id="2"/>
      <w:r>
        <w:rPr>
          <w:rFonts w:ascii="Times New Roman" w:hAnsi="Times New Roman"/>
          <w:b/>
          <w:i w:val="false"/>
          <w:color w:val="000000"/>
          <w:sz w:val="28"/>
        </w:rPr>
        <w:t>Управление образования администрации города Оренбург</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"СОШ №87"</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Шубкина Е.О.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ЗД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Конвесирова А.Н.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Соболевская Е.П.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1235047)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00381cc-dd6e-48b1-8d40-3a07eef759ff" w:id="3"/>
      <w:r>
        <w:rPr>
          <w:rFonts w:ascii="Times New Roman" w:hAnsi="Times New Roman"/>
          <w:b/>
          <w:i w:val="false"/>
          <w:color w:val="000000"/>
          <w:sz w:val="28"/>
        </w:rPr>
        <w:t>город Оренбург</w:t>
      </w:r>
      <w:bookmarkEnd w:id="3"/>
      <w:r>
        <w:rPr>
          <w:rFonts w:ascii="Times New Roman" w:hAnsi="Times New Roman"/>
          <w:b/>
          <w:i w:val="false"/>
          <w:color w:val="000000"/>
          <w:sz w:val="28"/>
        </w:rPr>
        <w:t xml:space="preserve">‌ </w:t>
      </w:r>
      <w:bookmarkStart w:name="10593221-ff68-4b8d-87f6-6d526c3afc0d"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830376" w:id="5"/>
    <w:p>
      <w:pPr>
        <w:sectPr>
          <w:pgSz w:w="11906" w:h="16383" w:orient="portrait"/>
        </w:sectPr>
      </w:pPr>
    </w:p>
    <w:bookmarkEnd w:id="5"/>
    <w:bookmarkEnd w:id="0"/>
    <w:bookmarkStart w:name="block-883037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ind w:firstLine="600"/>
        <w:jc w:val="both"/>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ind w:firstLine="600"/>
        <w:jc w:val="both"/>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ind w:firstLine="600"/>
        <w:jc w:val="both"/>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ind w:firstLine="600"/>
        <w:jc w:val="both"/>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ind w:firstLine="600"/>
        <w:jc w:val="both"/>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ind w:firstLine="600"/>
        <w:jc w:val="both"/>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ind w:firstLine="600"/>
        <w:jc w:val="both"/>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ind w:firstLine="600"/>
        <w:jc w:val="both"/>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ind w:firstLine="600"/>
        <w:jc w:val="both"/>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ind w:firstLine="600"/>
        <w:jc w:val="both"/>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ind w:firstLine="600"/>
        <w:jc w:val="both"/>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ind w:firstLine="600"/>
        <w:jc w:val="both"/>
      </w:pPr>
      <w:r>
        <w:rPr>
          <w:rFonts w:ascii="Times New Roman" w:hAnsi="Times New Roman"/>
          <w:b w:val="false"/>
          <w:i w:val="false"/>
          <w:color w:val="000000"/>
          <w:sz w:val="28"/>
        </w:rPr>
        <w:t>Переход к изучению геометрии на углублённом уровне позволяет:</w:t>
      </w:r>
    </w:p>
    <w:p>
      <w:pPr>
        <w:spacing w:before="0" w:after="0" w:line="264"/>
        <w:ind w:firstLine="600"/>
        <w:jc w:val="both"/>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ind w:firstLine="600"/>
        <w:jc w:val="both"/>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ind w:firstLine="600"/>
        <w:jc w:val="both"/>
      </w:pPr>
      <w:r>
        <w:rPr>
          <w:rFonts w:ascii="Times New Roman" w:hAnsi="Times New Roman"/>
          <w:b w:val="false"/>
          <w:i w:val="false"/>
          <w:color w:val="000000"/>
          <w:sz w:val="28"/>
        </w:rPr>
        <w:t>‌</w:t>
      </w:r>
      <w:bookmarkStart w:name="04eb6aa7-7a2b-4c78-a285-c233698ad3f6" w:id="7"/>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8830377" w:id="8"/>
    <w:p>
      <w:pPr>
        <w:sectPr>
          <w:pgSz w:w="11906" w:h="16383" w:orient="portrait"/>
        </w:sectPr>
      </w:pPr>
    </w:p>
    <w:bookmarkEnd w:id="8"/>
    <w:bookmarkEnd w:id="6"/>
    <w:bookmarkStart w:name="block-883037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ind w:firstLine="600"/>
        <w:jc w:val="both"/>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ind w:firstLine="600"/>
        <w:jc w:val="both"/>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ind w:firstLine="600"/>
        <w:jc w:val="both"/>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ind w:firstLine="600"/>
        <w:jc w:val="both"/>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ind w:firstLine="600"/>
        <w:jc w:val="both"/>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ind w:firstLine="600"/>
        <w:jc w:val="both"/>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ind w:firstLine="600"/>
        <w:jc w:val="both"/>
      </w:pPr>
      <w:r>
        <w:rPr>
          <w:rFonts w:ascii="Times New Roman" w:hAnsi="Times New Roman"/>
          <w:b/>
          <w:i w:val="false"/>
          <w:color w:val="000000"/>
          <w:sz w:val="28"/>
        </w:rPr>
        <w:t>Движения в пространстве</w:t>
      </w:r>
    </w:p>
    <w:p>
      <w:pPr>
        <w:spacing w:before="0" w:after="0" w:line="264"/>
        <w:ind w:firstLine="600"/>
        <w:jc w:val="both"/>
      </w:pPr>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bookmarkStart w:name="block-8830378" w:id="10"/>
    <w:p>
      <w:pPr>
        <w:sectPr>
          <w:pgSz w:w="11906" w:h="16383" w:orient="portrait"/>
        </w:sectPr>
      </w:pPr>
    </w:p>
    <w:bookmarkEnd w:id="10"/>
    <w:bookmarkEnd w:id="9"/>
    <w:bookmarkStart w:name="block-8830381" w:id="11"/>
    <w:p>
      <w:pPr>
        <w:spacing w:before="0" w:after="0" w:line="264"/>
        <w:ind w:left="120"/>
        <w:jc w:val="both"/>
      </w:pPr>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2) патриотическое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5) 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6) трудовое воспитание:</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ind w:firstLine="600"/>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ind w:firstLine="600"/>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ind w:firstLine="600"/>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ind w:firstLine="600"/>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spacing w:before="0" w:after="0" w:line="264"/>
        <w:ind w:firstLine="600"/>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spacing w:before="0" w:after="0" w:line="264"/>
        <w:ind w:firstLine="600"/>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ind w:firstLine="600"/>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ind w:firstLine="600"/>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ind w:firstLine="600"/>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numPr>
          <w:ilvl w:val="0"/>
          <w:numId w:val="1"/>
        </w:numPr>
        <w:spacing w:before="0" w:after="0" w:line="264"/>
        <w:jc w:val="both"/>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jc w:val="both"/>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многогранниками;</w:t>
      </w:r>
    </w:p>
    <w:p>
      <w:pPr>
        <w:numPr>
          <w:ilvl w:val="0"/>
          <w:numId w:val="1"/>
        </w:numPr>
        <w:spacing w:before="0" w:after="0" w:line="264"/>
        <w:jc w:val="both"/>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jc w:val="both"/>
      </w:pPr>
      <w:r>
        <w:rPr>
          <w:rFonts w:ascii="Times New Roman" w:hAnsi="Times New Roman"/>
          <w:b w:val="false"/>
          <w:i w:val="false"/>
          <w:color w:val="000000"/>
          <w:sz w:val="28"/>
        </w:rPr>
        <w:t>классифицировать многогранники, выбирая основания для классификации;</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numPr>
          <w:ilvl w:val="0"/>
          <w:numId w:val="1"/>
        </w:numPr>
        <w:spacing w:before="0" w:after="0" w:line="264"/>
        <w:jc w:val="both"/>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jc w:val="both"/>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jc w:val="both"/>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jc w:val="both"/>
      </w:pPr>
      <w:r>
        <w:rPr>
          <w:rFonts w:ascii="Times New Roman" w:hAnsi="Times New Roman"/>
          <w:b w:val="false"/>
          <w:i w:val="false"/>
          <w:color w:val="000000"/>
          <w:sz w:val="28"/>
        </w:rPr>
        <w:t>выполнять действия над векторами;</w:t>
      </w:r>
    </w:p>
    <w:p>
      <w:pPr>
        <w:numPr>
          <w:ilvl w:val="0"/>
          <w:numId w:val="1"/>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jc w:val="both"/>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jc w:val="both"/>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jc w:val="both"/>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jc w:val="both"/>
      </w:pPr>
      <w:r>
        <w:rPr>
          <w:rFonts w:ascii="Times New Roman" w:hAnsi="Times New Roman"/>
          <w:b w:val="false"/>
          <w:i w:val="false"/>
          <w:color w:val="000000"/>
          <w:sz w:val="28"/>
        </w:rPr>
        <w:t>классифицировать взаимное расположение сферы и плоскости;</w:t>
      </w:r>
    </w:p>
    <w:p>
      <w:pPr>
        <w:numPr>
          <w:ilvl w:val="0"/>
          <w:numId w:val="2"/>
        </w:numPr>
        <w:spacing w:before="0" w:after="0" w:line="264"/>
        <w:jc w:val="both"/>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numPr>
          <w:ilvl w:val="0"/>
          <w:numId w:val="2"/>
        </w:numPr>
        <w:spacing w:before="0" w:after="0" w:line="264"/>
        <w:jc w:val="both"/>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понятием вектор в пространстве;</w:t>
      </w:r>
    </w:p>
    <w:p>
      <w:pPr>
        <w:numPr>
          <w:ilvl w:val="0"/>
          <w:numId w:val="2"/>
        </w:numPr>
        <w:spacing w:before="0" w:after="0" w:line="264"/>
        <w:jc w:val="both"/>
      </w:pPr>
      <w:r>
        <w:rPr>
          <w:rFonts w:ascii="Times New Roman" w:hAnsi="Times New Roman"/>
          <w:b w:val="false"/>
          <w:i w:val="false"/>
          <w:color w:val="000000"/>
          <w:sz w:val="28"/>
        </w:rPr>
        <w:t>выполнять операции над векторами;</w:t>
      </w:r>
    </w:p>
    <w:p>
      <w:pPr>
        <w:numPr>
          <w:ilvl w:val="0"/>
          <w:numId w:val="2"/>
        </w:numPr>
        <w:spacing w:before="0" w:after="0" w:line="264"/>
        <w:jc w:val="both"/>
      </w:pPr>
      <w:r>
        <w:rPr>
          <w:rFonts w:ascii="Times New Roman" w:hAnsi="Times New Roman"/>
          <w:b w:val="false"/>
          <w:i w:val="false"/>
          <w:color w:val="000000"/>
          <w:sz w:val="28"/>
        </w:rPr>
        <w:t>задавать плоскость уравнением в декартовой системе координат;</w:t>
      </w:r>
    </w:p>
    <w:p>
      <w:pPr>
        <w:numPr>
          <w:ilvl w:val="0"/>
          <w:numId w:val="2"/>
        </w:numPr>
        <w:spacing w:before="0" w:after="0" w:line="264"/>
        <w:jc w:val="both"/>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jc w:val="both"/>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jc w:val="both"/>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jc w:val="both"/>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jc w:val="both"/>
      </w:pPr>
      <w:r>
        <w:rPr>
          <w:rFonts w:ascii="Times New Roman" w:hAnsi="Times New Roman"/>
          <w:b w:val="false"/>
          <w:i w:val="false"/>
          <w:color w:val="000000"/>
          <w:sz w:val="28"/>
        </w:rPr>
        <w:t>доказывать геометрические утверждения;</w:t>
      </w:r>
    </w:p>
    <w:p>
      <w:pPr>
        <w:numPr>
          <w:ilvl w:val="0"/>
          <w:numId w:val="2"/>
        </w:numPr>
        <w:spacing w:before="0" w:after="0" w:line="264"/>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jc w:val="both"/>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jc w:val="both"/>
      </w:pPr>
      <w:r>
        <w:rPr>
          <w:rFonts w:ascii="Times New Roman" w:hAnsi="Times New Roman"/>
          <w:b w:val="false"/>
          <w:i w:val="false"/>
          <w:color w:val="000000"/>
          <w:sz w:val="28"/>
        </w:rPr>
        <w:t xml:space="preserve">иметь представления об основных этапах развития геометрии как составной части фундамента развития </w:t>
      </w:r>
      <w:r>
        <w:rPr>
          <w:rFonts w:ascii="Times New Roman" w:hAnsi="Times New Roman"/>
          <w:b w:val="false"/>
          <w:i w:val="false"/>
          <w:color w:val="000000"/>
          <w:sz w:val="28"/>
        </w:rPr>
        <w:t>технологий.</w:t>
      </w:r>
    </w:p>
    <w:bookmarkStart w:name="block-8830381" w:id="12"/>
    <w:p>
      <w:pPr>
        <w:sectPr>
          <w:pgSz w:w="11906" w:h="16383" w:orient="portrait"/>
        </w:sectPr>
      </w:pPr>
    </w:p>
    <w:bookmarkEnd w:id="12"/>
    <w:bookmarkEnd w:id="11"/>
    <w:bookmarkStart w:name="block-883037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https://resh.edu.ru/subject/17/10/</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https://resh.edu.ru/subject/17/10/</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https://resh.edu.ru/subject/17/10/</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https://resh.edu.ru/subject/17/10/</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и расстояния</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https://resh.edu.ru/subject/17/10/</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https://resh.edu.ru/subject/17/10/</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https://resh.edu.ru/subject/17/10/</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https://resh.edu.ru/subject/17/10/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Аналитическая геометрия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https://resh.edu.ru/subject/17/11/</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https://resh.edu.ru/subject/17/11/</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многогранника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https://resh.edu.ru/subject/17/11/</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https://resh.edu.ru/subject/17/11/</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поверхности и объёмы круглых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https://resh.edu.ru/subject/17/11/</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https://resh.edu.ru/subject/17/11/</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https://resh.edu.ru/subject/17/11/</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8830379" w:id="14"/>
    <w:p>
      <w:pPr>
        <w:sectPr>
          <w:pgSz w:w="16383" w:h="11906" w:orient="landscape"/>
        </w:sectPr>
      </w:pPr>
    </w:p>
    <w:bookmarkEnd w:id="14"/>
    <w:bookmarkEnd w:id="13"/>
    <w:bookmarkStart w:name="block-883038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946"/>
        <w:gridCol w:w="3040"/>
        <w:gridCol w:w="1730"/>
        <w:gridCol w:w="2816"/>
        <w:gridCol w:w="2914"/>
        <w:gridCol w:w="2148"/>
      </w:tblGrid>
      <w:tr>
        <w:trPr>
          <w:trHeight w:val="300" w:hRule="atLeast"/>
          <w:trHeight w:val="144" w:hRule="atLeast"/>
        </w:trPr>
        <w:tc>
          <w:tcPr>
            <w:tcW w:w="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Основные правила изображения на рисунке плоскости, параллельных прямых (отрезков), середины отрезка </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97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86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44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351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372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351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351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0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44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"Аксиомы стереометрии. Сечения"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97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405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44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71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17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5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плоскости. Признаки параллельности двух плоскостей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44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17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"Параллельность прямых в пространстве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теорема Пифагора на плоскости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тригонометрия прямоугольного треугольника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куба и прямоугольного параллелепипеда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длин отрезков в кубе и прямоугольном параллелепипеде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17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Полугодовая контрольная работа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скрещивающимися прямыми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Ортогональное проектирование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0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Сдвиг по непараллельной прямой, изменение расстояний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скрещивающимися прямыми в пространстве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Свойство линейных углов двугранного угла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17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217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7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90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36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сферической геометрии: геодезические линии на Земле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"Углы и расстояния"</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знаний "Многогранник и его элементы"</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Виды пирамид. Правильная пирамида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Прямая и наклонная призмы. Правильная призма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09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параллелепипед, прямоугольный параллелепипед, куб</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63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"Многогранники"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на плоскости и в пространстве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30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векторов</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30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Разность векторов</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параллелепипеда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1560"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угла между векторами в пространстве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"Векторы в Пространстве"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825" w:hRule="atLeast"/>
          <w:trHeight w:val="144" w:hRule="atLeast"/>
        </w:trPr>
        <w:tc>
          <w:tcPr>
            <w:tcW w:w="6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963"/>
        <w:gridCol w:w="2880"/>
        <w:gridCol w:w="1765"/>
        <w:gridCol w:w="2856"/>
        <w:gridCol w:w="2951"/>
        <w:gridCol w:w="2179"/>
      </w:tblGrid>
      <w:tr>
        <w:trPr>
          <w:trHeight w:val="300" w:hRule="atLeast"/>
          <w:trHeight w:val="144" w:hRule="atLeast"/>
        </w:trPr>
        <w:tc>
          <w:tcPr>
            <w:tcW w:w="6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"Координаты вектора на плоскости и в пространстве"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"Скалярное произведение векторов"</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"Вычисление угла между векторами в пространстве"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"Уравнение прямой, проходящей через две точки"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Векторное произведение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прямыми в многогранниках</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расстояния от точки до плоскости в координатах</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кубе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"Аналитическая геометрия"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многогранники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метод следов</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98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параллельные сечения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расчёт отношений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9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тела. Объем прямоугольного параллелепипеда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об удвоении куба, о квадратуре куба; о трисекции угла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прямой призмы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объёмом прямой призмы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8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наклонной призмы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пирамиды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Полугодовая контрольная работа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пирамиды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объёмов. Вычисление расстояния до плоскости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"Объём многогранника"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Прямой круговой цилиндр. Площадь поверхности цилиндра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5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Конус</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Сечение конуса плоскостью, параллельной плоскости основания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Изображение конусов и усечённых конусов</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30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сферы. Площадь сферы и её частей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сферы и шара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со сферой и шаром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Различные комбинации тел вращения и многогранников</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"Тела и поверхности вращения"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Теорема об объёме прямого цилиндра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8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боковой и полной поверхности конуса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и площади поверхностей тел"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97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71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71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"Площади поверхности и объёмы круглых тел"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0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подобия. Прямая и сфера Эйлера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применение движения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"Векторы в пространстве"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97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2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71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71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3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jc w:val="left"/>
            </w:pPr>
          </w:p>
        </w:tc>
      </w:tr>
    </w:tbl>
    <w:p>
      <w:pPr>
        <w:sectPr>
          <w:pgSz w:w="16383" w:h="11906" w:orient="landscape"/>
        </w:sectPr>
      </w:pPr>
    </w:p>
    <w:bookmarkStart w:name="block-8830380" w:id="16"/>
    <w:p>
      <w:pPr>
        <w:sectPr>
          <w:pgSz w:w="16383" w:h="11906" w:orient="landscape"/>
        </w:sectPr>
      </w:pPr>
    </w:p>
    <w:bookmarkEnd w:id="16"/>
    <w:bookmarkEnd w:id="15"/>
    <w:bookmarkStart w:name="block-883038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c21ead6-5875-46fb-8f95-29ebaf147b06" w:id="18"/>
      <w:r>
        <w:rPr>
          <w:rFonts w:ascii="Times New Roman" w:hAnsi="Times New Roman"/>
          <w:b w:val="false"/>
          <w:i w:val="false"/>
          <w:color w:val="000000"/>
          <w:sz w:val="28"/>
        </w:rPr>
        <w:t>Учебник по геометрии за 10-11 класс - авторы Атанасян, Бутузов, Кадомцев, Киселева, Позняк</w:t>
      </w:r>
      <w:bookmarkEnd w:id="18"/>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019da24-adf5-4c55-8faf-7d417badf439" w:id="19"/>
      <w:r>
        <w:rPr>
          <w:rFonts w:ascii="Times New Roman" w:hAnsi="Times New Roman"/>
          <w:b w:val="false"/>
          <w:i w:val="false"/>
          <w:color w:val="000000"/>
          <w:sz w:val="28"/>
        </w:rPr>
        <w:t>Методические рекомендации. 10-11 классы (к учебнику Атанасян Л. С. и др.)</w:t>
      </w:r>
      <w:bookmarkEnd w:id="19"/>
      <w:r>
        <w:rPr>
          <w:sz w:val="28"/>
        </w:rPr>
        <w:br/>
      </w:r>
      <w:bookmarkStart w:name="b019da24-adf5-4c55-8faf-7d417badf439" w:id="20"/>
      <w:r>
        <w:rPr>
          <w:rFonts w:ascii="Times New Roman" w:hAnsi="Times New Roman"/>
          <w:b w:val="false"/>
          <w:i w:val="false"/>
          <w:color w:val="000000"/>
          <w:sz w:val="28"/>
        </w:rPr>
        <w:t xml:space="preserve"> Автор(ы): Атанасян Л.С., Бутузов В.Ф., Кадомцев С.Б. и др.</w:t>
      </w:r>
      <w:bookmarkEnd w:id="20"/>
      <w:r>
        <w:rPr>
          <w:sz w:val="28"/>
        </w:rPr>
        <w:br/>
      </w:r>
      <w:bookmarkStart w:name="b019da24-adf5-4c55-8faf-7d417badf439" w:id="21"/>
      <w:r>
        <w:rPr>
          <w:rFonts w:ascii="Times New Roman" w:hAnsi="Times New Roman"/>
          <w:b w:val="false"/>
          <w:i w:val="false"/>
          <w:color w:val="000000"/>
          <w:sz w:val="28"/>
        </w:rPr>
        <w:t xml:space="preserve"> Класс: 10, 11</w:t>
      </w:r>
      <w:bookmarkEnd w:id="21"/>
      <w:r>
        <w:rPr>
          <w:sz w:val="28"/>
        </w:rPr>
        <w:br/>
      </w:r>
      <w:bookmarkStart w:name="b019da24-adf5-4c55-8faf-7d417badf439" w:id="22"/>
      <w:r>
        <w:rPr>
          <w:rFonts w:ascii="Times New Roman" w:hAnsi="Times New Roman"/>
          <w:b w:val="false"/>
          <w:i w:val="false"/>
          <w:color w:val="000000"/>
          <w:sz w:val="28"/>
        </w:rPr>
        <w:t xml:space="preserve"> Предмет: Математика</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1717e9d-8c8d-4f48-9743-7fb49929d318" w:id="23"/>
      <w:r>
        <w:rPr>
          <w:rFonts w:ascii="Times New Roman" w:hAnsi="Times New Roman"/>
          <w:b w:val="false"/>
          <w:i w:val="false"/>
          <w:color w:val="000000"/>
          <w:sz w:val="28"/>
        </w:rPr>
        <w:t>https://resh.edu.ru/subject/17/11/</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830382" w:id="24"/>
    <w:p>
      <w:pPr>
        <w:sectPr>
          <w:pgSz w:w="11906" w:h="16383" w:orient="portrait"/>
        </w:sectPr>
      </w:pPr>
    </w:p>
    <w:bookmarkEnd w:id="24"/>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17/10/" Type="http://schemas.openxmlformats.org/officeDocument/2006/relationships/hyperlink" Id="rId4"/>
    <Relationship TargetMode="External" Target="https://resh.edu.ru/subject/17/10/" Type="http://schemas.openxmlformats.org/officeDocument/2006/relationships/hyperlink" Id="rId5"/>
    <Relationship TargetMode="External" Target="https://resh.edu.ru/subject/17/10/" Type="http://schemas.openxmlformats.org/officeDocument/2006/relationships/hyperlink" Id="rId6"/>
    <Relationship TargetMode="External" Target="https://resh.edu.ru/subject/17/10/" Type="http://schemas.openxmlformats.org/officeDocument/2006/relationships/hyperlink" Id="rId7"/>
    <Relationship TargetMode="External" Target="https://resh.edu.ru/subject/17/10/" Type="http://schemas.openxmlformats.org/officeDocument/2006/relationships/hyperlink" Id="rId8"/>
    <Relationship TargetMode="External" Target="https://resh.edu.ru/subject/17/10/" Type="http://schemas.openxmlformats.org/officeDocument/2006/relationships/hyperlink" Id="rId9"/>
    <Relationship TargetMode="External" Target="https://resh.edu.ru/subject/17/10/" Type="http://schemas.openxmlformats.org/officeDocument/2006/relationships/hyperlink" Id="rId10"/>
    <Relationship TargetMode="External" Target="https://resh.edu.ru/subject/17/10/" Type="http://schemas.openxmlformats.org/officeDocument/2006/relationships/hyperlink" Id="rId11"/>
    <Relationship TargetMode="External" Target="https://resh.edu.ru/subject/17/11/" Type="http://schemas.openxmlformats.org/officeDocument/2006/relationships/hyperlink" Id="rId12"/>
    <Relationship TargetMode="External" Target="https://resh.edu.ru/subject/17/11/" Type="http://schemas.openxmlformats.org/officeDocument/2006/relationships/hyperlink" Id="rId13"/>
    <Relationship TargetMode="External" Target="https://resh.edu.ru/subject/17/11/" Type="http://schemas.openxmlformats.org/officeDocument/2006/relationships/hyperlink" Id="rId14"/>
    <Relationship TargetMode="External" Target="https://resh.edu.ru/subject/17/11/" Type="http://schemas.openxmlformats.org/officeDocument/2006/relationships/hyperlink" Id="rId15"/>
    <Relationship TargetMode="External" Target="https://resh.edu.ru/subject/17/11/" Type="http://schemas.openxmlformats.org/officeDocument/2006/relationships/hyperlink" Id="rId16"/>
    <Relationship TargetMode="External" Target="https://resh.edu.ru/subject/17/11/" Type="http://schemas.openxmlformats.org/officeDocument/2006/relationships/hyperlink" Id="rId17"/>
    <Relationship TargetMode="External" Target="https://resh.edu.ru/subject/17/11/" Type="http://schemas.openxmlformats.org/officeDocument/2006/relationships/hyperlink" Id="rId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